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5F" w:rsidRPr="00CE31DC" w:rsidRDefault="005D70C9">
      <w:pPr>
        <w:pStyle w:val="3"/>
        <w:shd w:val="clear" w:color="auto" w:fill="auto"/>
        <w:tabs>
          <w:tab w:val="right" w:pos="9918"/>
        </w:tabs>
        <w:spacing w:after="2"/>
        <w:ind w:left="40" w:right="140"/>
        <w:rPr>
          <w:sz w:val="24"/>
          <w:szCs w:val="24"/>
        </w:rPr>
      </w:pPr>
      <w:r w:rsidRPr="00CE31DC">
        <w:rPr>
          <w:sz w:val="24"/>
          <w:szCs w:val="24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30.12.2017 № 274н, представляется информация об учетной политике учреждения.</w:t>
      </w:r>
      <w:r w:rsidRPr="00CE31DC">
        <w:rPr>
          <w:sz w:val="24"/>
          <w:szCs w:val="24"/>
        </w:rPr>
        <w:tab/>
      </w:r>
    </w:p>
    <w:p w:rsidR="0049625F" w:rsidRPr="00CE31DC" w:rsidRDefault="005D70C9">
      <w:pPr>
        <w:pStyle w:val="a6"/>
        <w:framePr w:w="10666" w:wrap="notBeside" w:vAnchor="text" w:hAnchor="text" w:xAlign="center" w:y="1"/>
        <w:shd w:val="clear" w:color="auto" w:fill="auto"/>
        <w:tabs>
          <w:tab w:val="right" w:leader="underscore" w:pos="9878"/>
          <w:tab w:val="right" w:pos="10018"/>
          <w:tab w:val="right" w:pos="10234"/>
          <w:tab w:val="right" w:pos="10392"/>
        </w:tabs>
        <w:ind w:firstLine="0"/>
        <w:rPr>
          <w:sz w:val="24"/>
          <w:szCs w:val="24"/>
        </w:rPr>
      </w:pPr>
      <w:r w:rsidRPr="00CE31DC">
        <w:rPr>
          <w:sz w:val="24"/>
          <w:szCs w:val="24"/>
        </w:rPr>
        <w:t xml:space="preserve">Учетная политика ОГБУК «Государственная филармония Костромской области» утверждена </w:t>
      </w:r>
      <w:r w:rsidRPr="00CE31DC">
        <w:rPr>
          <w:rStyle w:val="a7"/>
          <w:sz w:val="24"/>
          <w:szCs w:val="24"/>
        </w:rPr>
        <w:t>приказом от 3</w:t>
      </w:r>
      <w:r w:rsidR="00CE31DC">
        <w:rPr>
          <w:rStyle w:val="a7"/>
          <w:sz w:val="24"/>
          <w:szCs w:val="24"/>
        </w:rPr>
        <w:t>0</w:t>
      </w:r>
      <w:r w:rsidRPr="00CE31DC">
        <w:rPr>
          <w:rStyle w:val="a7"/>
          <w:sz w:val="24"/>
          <w:szCs w:val="24"/>
        </w:rPr>
        <w:t xml:space="preserve"> декабря 20</w:t>
      </w:r>
      <w:r w:rsidR="00CE31DC">
        <w:rPr>
          <w:rStyle w:val="a7"/>
          <w:sz w:val="24"/>
          <w:szCs w:val="24"/>
        </w:rPr>
        <w:t>20</w:t>
      </w:r>
      <w:r w:rsidRPr="00CE31DC">
        <w:rPr>
          <w:rStyle w:val="a7"/>
          <w:sz w:val="24"/>
          <w:szCs w:val="24"/>
        </w:rPr>
        <w:t xml:space="preserve"> года № </w:t>
      </w:r>
      <w:r w:rsidR="00CE31DC">
        <w:rPr>
          <w:rStyle w:val="a7"/>
          <w:sz w:val="24"/>
          <w:szCs w:val="24"/>
        </w:rPr>
        <w:t>334</w:t>
      </w:r>
      <w:r w:rsidRPr="00CE31DC">
        <w:rPr>
          <w:rStyle w:val="a7"/>
          <w:sz w:val="24"/>
          <w:szCs w:val="24"/>
        </w:rPr>
        <w:t>/02-01 и состоит из следующих частей:</w:t>
      </w:r>
      <w:bookmarkStart w:id="0" w:name="_GoBack"/>
      <w:bookmarkEnd w:id="0"/>
      <w:r w:rsidRPr="00CE31DC">
        <w:rPr>
          <w:sz w:val="24"/>
          <w:szCs w:val="24"/>
        </w:rPr>
        <w:tab/>
      </w:r>
    </w:p>
    <w:tbl>
      <w:tblPr>
        <w:tblpPr w:leftFromText="180" w:rightFromText="180" w:horzAnchor="margin" w:tblpY="4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78"/>
        <w:gridCol w:w="7474"/>
      </w:tblGrid>
      <w:tr w:rsidR="0049625F" w:rsidRPr="00CE31DC" w:rsidTr="008D4800">
        <w:trPr>
          <w:trHeight w:hRule="exact" w:val="5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№</w:t>
            </w:r>
          </w:p>
          <w:p w:rsidR="0049625F" w:rsidRPr="00CE31DC" w:rsidRDefault="005D70C9" w:rsidP="008D4800">
            <w:pPr>
              <w:pStyle w:val="3"/>
              <w:shd w:val="clear" w:color="auto" w:fill="auto"/>
              <w:spacing w:before="60"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CE31DC">
              <w:rPr>
                <w:rStyle w:val="1"/>
                <w:sz w:val="24"/>
                <w:szCs w:val="24"/>
              </w:rPr>
              <w:t>п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Наименование части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Основные положения</w:t>
            </w:r>
          </w:p>
        </w:tc>
      </w:tr>
      <w:tr w:rsidR="0049625F" w:rsidRPr="00CE31DC" w:rsidTr="008D4800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</w:t>
            </w:r>
          </w:p>
        </w:tc>
      </w:tr>
      <w:tr w:rsidR="0049625F" w:rsidRPr="00CE31DC" w:rsidTr="008D4800">
        <w:trPr>
          <w:trHeight w:hRule="exact"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Об организации бухгалтерского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49625F" w:rsidP="008D4800">
            <w:pPr>
              <w:pStyle w:val="3"/>
              <w:shd w:val="clear" w:color="auto" w:fill="auto"/>
              <w:spacing w:after="0" w:line="200" w:lineRule="exact"/>
              <w:ind w:left="672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8D4800">
        <w:trPr>
          <w:trHeight w:hRule="exact" w:val="11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12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1. Общие вопросы организации бухгалтерского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перечень нормативных 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политике.</w:t>
            </w:r>
          </w:p>
        </w:tc>
      </w:tr>
      <w:tr w:rsidR="0049625F" w:rsidRPr="00CE31DC" w:rsidTr="008D4800">
        <w:trPr>
          <w:trHeight w:hRule="exact" w:val="30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2. Организация бухгалтерской службы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информацию: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ведения бухгалтерского и налогового учета, который возлагается на отдел финансово-экономических вопросов и инвестиционных программ, возглавляемый главным бухгалтером;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программных продуктах, применяемых для обработки учетной информации, о направлениях использования электронного документооборота;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 xml:space="preserve">об особенностях оформления первичных учетных документах; 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-п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оложение о внутреннем финансовом контроле (приложение 1)и график проведения внутренних проверок приложение 2), состав комиссии (приложение 3).</w:t>
            </w:r>
          </w:p>
        </w:tc>
      </w:tr>
      <w:tr w:rsidR="0049625F" w:rsidRPr="00CE31DC" w:rsidTr="008D4800">
        <w:trPr>
          <w:trHeight w:hRule="exact" w:val="27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3.Правила и график документооборота, обработку учетной информации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перечень лиц, имеющих право подписи первичных учетных документов (приложение 4);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 xml:space="preserve">о работе с 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контроль-кассовой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 xml:space="preserve"> техникой;</w:t>
            </w:r>
          </w:p>
          <w:p w:rsidR="0049625F" w:rsidRPr="00CE31DC" w:rsidRDefault="005D70C9" w:rsidP="008D4800">
            <w:pPr>
              <w:pStyle w:val="3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-об использовании унифицированных форм регистров и о порядке формирования электронных регистров бухгалтерского учет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а(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приложение 6);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графике документооборота (приложение 7);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об особенностях оформления и формирования регистров бухгалтерского учета - журналов операций и главной книги.</w:t>
            </w:r>
          </w:p>
        </w:tc>
      </w:tr>
      <w:tr w:rsidR="0049625F" w:rsidRPr="00CE31DC" w:rsidTr="008D4800">
        <w:trPr>
          <w:trHeight w:hRule="exact" w:val="16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4.Периодичность формирования регистров бухгалтерского (бюджетного) учета на бумажных носителях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 о сроках формирования регистров бухгалтерского (бюджетного) учета на бумажных носителях</w:t>
            </w:r>
          </w:p>
        </w:tc>
      </w:tr>
      <w:tr w:rsidR="0049625F" w:rsidRPr="00CE31DC" w:rsidTr="008D4800">
        <w:trPr>
          <w:trHeight w:hRule="exact" w:val="9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5. Рабочий План счетов бухгалтерского (бюджетного) учета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600"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информацию о рабочем плане счетов (приложение 9)</w:t>
            </w:r>
          </w:p>
          <w:p w:rsidR="0049625F" w:rsidRPr="00CE31DC" w:rsidRDefault="0049625F" w:rsidP="008D4800">
            <w:pPr>
              <w:pStyle w:val="3"/>
              <w:shd w:val="clear" w:color="auto" w:fill="auto"/>
              <w:spacing w:before="600" w:after="0" w:line="230" w:lineRule="exact"/>
              <w:ind w:left="4140" w:firstLine="0"/>
              <w:jc w:val="left"/>
              <w:rPr>
                <w:sz w:val="24"/>
                <w:szCs w:val="24"/>
              </w:rPr>
            </w:pPr>
          </w:p>
        </w:tc>
      </w:tr>
      <w:tr w:rsidR="0049625F" w:rsidRPr="00CE31DC" w:rsidTr="008D4800">
        <w:trPr>
          <w:trHeight w:hRule="exact" w:val="13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E31DC">
              <w:rPr>
                <w:rStyle w:val="1"/>
                <w:sz w:val="24"/>
                <w:szCs w:val="24"/>
              </w:rPr>
              <w:t>б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>.П</w:t>
            </w:r>
            <w:proofErr w:type="gramEnd"/>
            <w:r w:rsidRPr="00CE31DC">
              <w:rPr>
                <w:rStyle w:val="1"/>
                <w:sz w:val="24"/>
                <w:szCs w:val="24"/>
              </w:rPr>
              <w:t>орядок</w:t>
            </w:r>
            <w:proofErr w:type="spellEnd"/>
            <w:r w:rsidRPr="00CE31DC">
              <w:rPr>
                <w:rStyle w:val="1"/>
                <w:sz w:val="24"/>
                <w:szCs w:val="24"/>
              </w:rPr>
              <w:t xml:space="preserve"> приемки и списания нефинансовых 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25F" w:rsidRPr="00CE31DC" w:rsidRDefault="005D70C9" w:rsidP="008D4800">
            <w:pPr>
              <w:pStyle w:val="3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60"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комиссии по поступлению и выбытию активов (приложение 10);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60" w:after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 комиссии по поступлению и выбытию активов (приложение 11);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 списании активов (приложение 12);</w:t>
            </w:r>
          </w:p>
        </w:tc>
      </w:tr>
      <w:tr w:rsidR="0049625F" w:rsidRPr="00CE31DC" w:rsidTr="008D4800">
        <w:trPr>
          <w:trHeight w:hRule="exact" w:val="14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7. Порядок проведения инвентаризации</w:t>
            </w:r>
            <w:r w:rsidR="00F14B24">
              <w:rPr>
                <w:rStyle w:val="1"/>
                <w:sz w:val="24"/>
                <w:szCs w:val="24"/>
              </w:rPr>
              <w:t xml:space="preserve"> активов (нефинансовых и финансовых обязательств) 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25F" w:rsidRPr="00CE31DC" w:rsidRDefault="005D70C9" w:rsidP="008D4800">
            <w:pPr>
              <w:pStyle w:val="3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Содержится информация:</w:t>
            </w:r>
            <w:proofErr w:type="gramStart"/>
            <w:r w:rsidRPr="00CE31DC">
              <w:rPr>
                <w:rStyle w:val="1"/>
                <w:sz w:val="24"/>
                <w:szCs w:val="24"/>
              </w:rPr>
              <w:t xml:space="preserve"> .</w:t>
            </w:r>
            <w:proofErr w:type="gramEnd"/>
          </w:p>
          <w:p w:rsidR="0049625F" w:rsidRPr="00CE31DC" w:rsidRDefault="005D70C9" w:rsidP="008D480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Положение об инвентаризации (приложение 13);</w:t>
            </w:r>
          </w:p>
          <w:p w:rsidR="0049625F" w:rsidRPr="00CE31DC" w:rsidRDefault="005D70C9" w:rsidP="008D480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E31DC">
              <w:rPr>
                <w:rStyle w:val="1"/>
                <w:sz w:val="24"/>
                <w:szCs w:val="24"/>
              </w:rPr>
              <w:t>о сроках проведения плановых и внеплановых инвентаризаций, отражение результатов инвентаризации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578"/>
        <w:gridCol w:w="7474"/>
      </w:tblGrid>
      <w:tr w:rsidR="00F14B24" w:rsidTr="00F14B24">
        <w:trPr>
          <w:trHeight w:hRule="exact" w:val="7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lastRenderedPageBreak/>
              <w:t>9</w:t>
            </w:r>
          </w:p>
          <w:p w:rsidR="00F14B24" w:rsidRPr="00F14B24" w:rsidRDefault="00F14B24" w:rsidP="00F14B24">
            <w:pPr>
              <w:jc w:val="center"/>
            </w:pPr>
            <w: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Общие правила ведения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бухгалтерского учета.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1. Учет объектов основных средств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tabs>
                <w:tab w:val="left" w:pos="652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sz w:val="24"/>
                <w:szCs w:val="24"/>
              </w:rPr>
              <w:t>об объединении объектов имущества;</w:t>
            </w:r>
          </w:p>
          <w:p w:rsidR="00F14B24" w:rsidRPr="00F14B24" w:rsidRDefault="00F14B24" w:rsidP="00F14B24">
            <w:pPr>
              <w:tabs>
                <w:tab w:val="left" w:pos="763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sz w:val="24"/>
                <w:szCs w:val="24"/>
              </w:rPr>
              <w:t>о формировании инвентарного номера объектов основных средств;</w:t>
            </w:r>
          </w:p>
          <w:p w:rsidR="00F14B24" w:rsidRPr="00F14B24" w:rsidRDefault="00F14B24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sz w:val="24"/>
                <w:szCs w:val="24"/>
              </w:rPr>
              <w:t>об обозначении инвентарного номера на объекте основных средств;</w:t>
            </w:r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64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об установленном методе амортизации;</w:t>
            </w:r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59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 методе определения справедливой стоимости активов;</w:t>
            </w:r>
          </w:p>
          <w:p w:rsidR="00F14B24" w:rsidRPr="00F14B24" w:rsidRDefault="00F14B24" w:rsidP="00F14B24">
            <w:pPr>
              <w:numPr>
                <w:ilvl w:val="0"/>
                <w:numId w:val="9"/>
              </w:numPr>
              <w:tabs>
                <w:tab w:val="left" w:pos="59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 переоценке объектов основных средств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2. Учет</w:t>
            </w:r>
          </w:p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нематериальных</w:t>
            </w:r>
          </w:p>
          <w:p w:rsidR="00F14B24" w:rsidRPr="00F14B24" w:rsidRDefault="00F14B24" w:rsidP="00F14B24">
            <w:pPr>
              <w:pStyle w:val="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Default="00F14B24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-</w:t>
            </w:r>
            <w:r w:rsidRPr="00F14B24">
              <w:rPr>
                <w:rStyle w:val="115pt"/>
                <w:sz w:val="24"/>
                <w:szCs w:val="24"/>
              </w:rPr>
              <w:t>о формировании инвентарного номера нематериальных активов;</w:t>
            </w:r>
            <w:proofErr w:type="gramStart"/>
            <w:r w:rsidRPr="00F14B24">
              <w:rPr>
                <w:rStyle w:val="115pt"/>
                <w:sz w:val="24"/>
                <w:szCs w:val="24"/>
              </w:rPr>
              <w:t xml:space="preserve"> .</w:t>
            </w:r>
            <w:proofErr w:type="gramEnd"/>
          </w:p>
          <w:p w:rsidR="00F14B24" w:rsidRPr="00F14B24" w:rsidRDefault="00F14B24" w:rsidP="00F14B24">
            <w:pPr>
              <w:tabs>
                <w:tab w:val="left" w:pos="758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t>-</w:t>
            </w:r>
            <w:r w:rsidRPr="00F14B24">
              <w:rPr>
                <w:rStyle w:val="115pt"/>
                <w:sz w:val="24"/>
                <w:szCs w:val="24"/>
              </w:rPr>
              <w:t>о переоценке объектов нематериальных активов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spacing w:line="230" w:lineRule="exact"/>
              <w:jc w:val="center"/>
              <w:rPr>
                <w:sz w:val="24"/>
                <w:szCs w:val="24"/>
              </w:rPr>
            </w:pPr>
            <w:r w:rsidRPr="00F14B24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1</w:t>
            </w:r>
            <w:r w:rsidRPr="00F14B24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3. Учет материальных запасов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numPr>
                <w:ilvl w:val="0"/>
                <w:numId w:val="11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 принятии к учету материальных запасов;</w:t>
            </w:r>
          </w:p>
          <w:p w:rsidR="00F14B24" w:rsidRPr="00F14B24" w:rsidRDefault="00F14B24" w:rsidP="00F14B24">
            <w:pPr>
              <w:numPr>
                <w:ilvl w:val="0"/>
                <w:numId w:val="11"/>
              </w:numPr>
              <w:tabs>
                <w:tab w:val="left" w:pos="18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14B24">
              <w:rPr>
                <w:rStyle w:val="115pt"/>
                <w:sz w:val="24"/>
                <w:szCs w:val="24"/>
              </w:rPr>
              <w:t>о</w:t>
            </w:r>
            <w:proofErr w:type="gramEnd"/>
            <w:r w:rsidRPr="00F14B24">
              <w:rPr>
                <w:rStyle w:val="115pt"/>
                <w:sz w:val="24"/>
                <w:szCs w:val="24"/>
              </w:rPr>
              <w:t xml:space="preserve"> используемых учреждением видах бланков строгой отчетности, особенностях бухгалтерского учета бланков строгой отчетности;</w:t>
            </w:r>
          </w:p>
        </w:tc>
      </w:tr>
      <w:tr w:rsidR="00F14B24" w:rsidTr="00F14B24">
        <w:trPr>
          <w:trHeight w:hRule="exact" w:val="8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4. Обесценение активов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информация:</w:t>
            </w:r>
          </w:p>
          <w:p w:rsidR="00F14B24" w:rsidRPr="00F14B24" w:rsidRDefault="00F14B24" w:rsidP="00F14B24">
            <w:pPr>
              <w:numPr>
                <w:ilvl w:val="0"/>
                <w:numId w:val="12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обесценение активов;</w:t>
            </w:r>
          </w:p>
          <w:p w:rsidR="00F14B24" w:rsidRPr="00F14B24" w:rsidRDefault="00F14B24" w:rsidP="00F14B24">
            <w:pPr>
              <w:numPr>
                <w:ilvl w:val="0"/>
                <w:numId w:val="12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 восстановление убытка от обесценения актива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5. Учет себестоимости оказанных услуг, выполненных работ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составе затрат прямых и общехозяйственных в разрезе их видов и списание расходов на себестоимость.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4B24">
              <w:rPr>
                <w:rStyle w:val="115pt"/>
                <w:sz w:val="24"/>
                <w:szCs w:val="24"/>
              </w:rPr>
              <w:t>б</w:t>
            </w:r>
            <w:proofErr w:type="gramEnd"/>
            <w:r w:rsidRPr="00F14B24">
              <w:rPr>
                <w:rStyle w:val="115pt"/>
                <w:sz w:val="24"/>
                <w:szCs w:val="24"/>
              </w:rPr>
              <w:t>.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F14B24">
              <w:rPr>
                <w:rStyle w:val="115pt"/>
                <w:sz w:val="24"/>
                <w:szCs w:val="24"/>
              </w:rPr>
              <w:t>Учет кассовых операций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</w:t>
            </w:r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97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 ведение кассовых операций</w:t>
            </w:r>
            <w:proofErr w:type="gramStart"/>
            <w:r w:rsidRPr="00F14B24">
              <w:rPr>
                <w:rStyle w:val="115pt"/>
                <w:sz w:val="24"/>
                <w:szCs w:val="24"/>
              </w:rPr>
              <w:t xml:space="preserve"> ;</w:t>
            </w:r>
            <w:proofErr w:type="gramEnd"/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 проведении инвентаризации кассы;</w:t>
            </w:r>
          </w:p>
          <w:p w:rsidR="00F14B24" w:rsidRPr="00F14B24" w:rsidRDefault="00F14B24" w:rsidP="00F14B24">
            <w:pPr>
              <w:numPr>
                <w:ilvl w:val="0"/>
                <w:numId w:val="13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F14B24">
              <w:rPr>
                <w:rStyle w:val="115pt"/>
                <w:sz w:val="24"/>
                <w:szCs w:val="24"/>
              </w:rPr>
              <w:t>о денежных документах.</w:t>
            </w:r>
          </w:p>
        </w:tc>
      </w:tr>
      <w:tr w:rsidR="00F14B24" w:rsidTr="00F14B24">
        <w:trPr>
          <w:trHeight w:hRule="exact" w:val="6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7.Учет расходов на мобильную связь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об учете расходов на мобильную связь</w:t>
            </w:r>
          </w:p>
        </w:tc>
      </w:tr>
      <w:tr w:rsidR="00F14B24" w:rsidTr="00F14B24">
        <w:trPr>
          <w:trHeight w:hRule="exact" w:val="1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8. Порядок выдачи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наличных денежных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средств под отчет 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предоставление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отчетности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подотчетными</w:t>
            </w:r>
          </w:p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лицами.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об отражении порядка выдачи денежных средств под отчет: способы выдачи, предельная сумма, сроки</w:t>
            </w:r>
          </w:p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%</w:t>
            </w:r>
          </w:p>
        </w:tc>
      </w:tr>
      <w:tr w:rsidR="00F14B24" w:rsidTr="00F14B24">
        <w:trPr>
          <w:trHeight w:hRule="exact" w:val="11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9.Учет расчетов по оплате труда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ведение аналитического учета расчетов по оплате труда в разрезе сотрудников и других физических лиц, с которыми заключены гражданско-правовые договоры</w:t>
            </w:r>
          </w:p>
        </w:tc>
      </w:tr>
      <w:tr w:rsidR="00F14B24" w:rsidTr="00F14B24">
        <w:trPr>
          <w:trHeight w:hRule="exact" w:val="6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</w:t>
            </w:r>
            <w:r>
              <w:rPr>
                <w:rStyle w:val="115pt"/>
                <w:sz w:val="24"/>
                <w:szCs w:val="24"/>
              </w:rPr>
              <w:t>1</w:t>
            </w:r>
            <w:r w:rsidRPr="00F14B24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8D4800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10</w:t>
            </w:r>
            <w:r w:rsidR="00F14B24" w:rsidRPr="00F14B24">
              <w:rPr>
                <w:rStyle w:val="115pt"/>
                <w:sz w:val="24"/>
                <w:szCs w:val="24"/>
              </w:rPr>
              <w:t>.Учет доходов (СГС «Доходы»)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Содержится информация о доходах, доходах и расходах будущих периодов</w:t>
            </w:r>
          </w:p>
        </w:tc>
      </w:tr>
      <w:tr w:rsidR="00F14B24" w:rsidTr="008D4800">
        <w:trPr>
          <w:trHeight w:hRule="exact" w:val="14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4B24" w:rsidRPr="00F14B24" w:rsidRDefault="00F14B24" w:rsidP="00F14B24">
            <w:pPr>
              <w:pStyle w:val="3"/>
              <w:jc w:val="center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2</w:t>
            </w:r>
            <w:r w:rsidRPr="00F14B24">
              <w:rPr>
                <w:rStyle w:val="115pt"/>
                <w:sz w:val="24"/>
                <w:szCs w:val="24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F14B24">
              <w:rPr>
                <w:rStyle w:val="115pt"/>
                <w:sz w:val="24"/>
                <w:szCs w:val="24"/>
              </w:rPr>
              <w:t>11. События после отчетной даты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24" w:rsidRPr="00F14B24" w:rsidRDefault="00F14B24" w:rsidP="00F14B24">
            <w:pPr>
              <w:pStyle w:val="3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14B24">
              <w:rPr>
                <w:rStyle w:val="115pt"/>
                <w:sz w:val="24"/>
                <w:szCs w:val="24"/>
              </w:rPr>
              <w:t>События, которые могут быть признаны событиями после' отчетной даты: события после отчетной даты, которые подтверждают условия хозяйственной деятельности и события, которые</w:t>
            </w:r>
            <w:r w:rsidR="008D4800">
              <w:rPr>
                <w:rStyle w:val="115pt"/>
                <w:sz w:val="24"/>
                <w:szCs w:val="24"/>
              </w:rPr>
              <w:t xml:space="preserve"> </w:t>
            </w:r>
            <w:r w:rsidR="008D4800" w:rsidRPr="001A1D5E">
              <w:rPr>
                <w:rStyle w:val="115pt0"/>
                <w:b w:val="0"/>
              </w:rPr>
              <w:t>свидетельствуют об условиях хозяйственной деятельности; существенность события после отчетной даты; порядок отражения событий после отчетной даты</w:t>
            </w:r>
            <w:proofErr w:type="gramEnd"/>
          </w:p>
        </w:tc>
      </w:tr>
      <w:tr w:rsidR="008D4800" w:rsidTr="008D4800">
        <w:trPr>
          <w:trHeight w:hRule="exact" w:val="7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after="120" w:line="230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12.Резервы</w:t>
            </w:r>
          </w:p>
          <w:p w:rsidR="008D4800" w:rsidRPr="001A1D5E" w:rsidRDefault="008D4800" w:rsidP="008D4800">
            <w:pPr>
              <w:spacing w:before="120" w:line="230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предстоящих расходов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98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 xml:space="preserve">Содержится информация о создании резервов предстоящих расходов </w:t>
            </w:r>
          </w:p>
        </w:tc>
      </w:tr>
      <w:tr w:rsidR="008D4800" w:rsidTr="008D4800">
        <w:trPr>
          <w:trHeight w:hRule="exact" w:val="85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13.У чет</w:t>
            </w:r>
          </w:p>
          <w:p w:rsidR="008D4800" w:rsidRPr="001A1D5E" w:rsidRDefault="008D4800" w:rsidP="008D4800">
            <w:pPr>
              <w:spacing w:line="274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санкционирования</w:t>
            </w:r>
          </w:p>
          <w:p w:rsidR="008D4800" w:rsidRPr="001A1D5E" w:rsidRDefault="008D4800" w:rsidP="008D4800">
            <w:pPr>
              <w:spacing w:line="274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расходов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возникновении обязательств и документах, подтверждающих возникновения обязательств</w:t>
            </w:r>
          </w:p>
        </w:tc>
      </w:tr>
      <w:tr w:rsidR="008D4800" w:rsidTr="008D4800">
        <w:trPr>
          <w:trHeight w:hRule="exact" w:val="7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14.Порядок хранения документов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порядке хранения документов и сроках хранения.</w:t>
            </w:r>
          </w:p>
        </w:tc>
      </w:tr>
      <w:tr w:rsidR="008D4800" w:rsidTr="008D4800">
        <w:trPr>
          <w:trHeight w:hRule="exact" w:val="8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24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69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15. Изменение учетной политики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Содержится информация о причинах и сроках изменения учетной политики и о способе публичного раскрытия основных положений учетной политики на официальном сайте</w:t>
            </w:r>
          </w:p>
        </w:tc>
      </w:tr>
      <w:tr w:rsidR="008D4800" w:rsidTr="008D4800">
        <w:trPr>
          <w:trHeight w:hRule="exact" w:val="15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30" w:lineRule="exact"/>
              <w:ind w:left="16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lastRenderedPageBreak/>
              <w:t>25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ind w:left="14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Учетная политика для целей налогообложения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800" w:rsidRPr="001A1D5E" w:rsidRDefault="008D4800" w:rsidP="008D4800">
            <w:pPr>
              <w:spacing w:line="274" w:lineRule="exact"/>
              <w:ind w:firstLine="580"/>
              <w:rPr>
                <w:b/>
              </w:rPr>
            </w:pPr>
            <w:r w:rsidRPr="001A1D5E">
              <w:rPr>
                <w:rStyle w:val="115pt0"/>
                <w:rFonts w:eastAsia="Courier New"/>
                <w:b w:val="0"/>
              </w:rPr>
              <w:t>Организация и ведение налогового учета учреждением, составление налоговой отчетности в объеме и по формам, установленным ФНС России в случаях, когда в соответствии с Налоговым кодексом Российской Федерации на учреждение возложены обязанности налогоплательщика или налогового агента</w:t>
            </w:r>
          </w:p>
        </w:tc>
      </w:tr>
    </w:tbl>
    <w:p w:rsidR="0049625F" w:rsidRPr="00CE31DC" w:rsidRDefault="0049625F">
      <w:pPr>
        <w:rPr>
          <w:rFonts w:ascii="Times New Roman" w:hAnsi="Times New Roman" w:cs="Times New Roman"/>
        </w:rPr>
      </w:pPr>
    </w:p>
    <w:sectPr w:rsidR="0049625F" w:rsidRPr="00CE31DC">
      <w:type w:val="continuous"/>
      <w:pgSz w:w="11909" w:h="16838"/>
      <w:pgMar w:top="624" w:right="617" w:bottom="562" w:left="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B3" w:rsidRDefault="00596CB3">
      <w:r>
        <w:separator/>
      </w:r>
    </w:p>
  </w:endnote>
  <w:endnote w:type="continuationSeparator" w:id="0">
    <w:p w:rsidR="00596CB3" w:rsidRDefault="0059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B3" w:rsidRDefault="00596CB3"/>
  </w:footnote>
  <w:footnote w:type="continuationSeparator" w:id="0">
    <w:p w:rsidR="00596CB3" w:rsidRDefault="00596C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992"/>
    <w:multiLevelType w:val="multilevel"/>
    <w:tmpl w:val="A23A0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9040C"/>
    <w:multiLevelType w:val="multilevel"/>
    <w:tmpl w:val="FAF2D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D780E"/>
    <w:multiLevelType w:val="multilevel"/>
    <w:tmpl w:val="EC6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9542D"/>
    <w:multiLevelType w:val="multilevel"/>
    <w:tmpl w:val="0F8CC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2460F"/>
    <w:multiLevelType w:val="multilevel"/>
    <w:tmpl w:val="D3EA3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1704C"/>
    <w:multiLevelType w:val="multilevel"/>
    <w:tmpl w:val="C83C3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92835"/>
    <w:multiLevelType w:val="multilevel"/>
    <w:tmpl w:val="8BB89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C6E5F"/>
    <w:multiLevelType w:val="multilevel"/>
    <w:tmpl w:val="04049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B2AC4"/>
    <w:multiLevelType w:val="multilevel"/>
    <w:tmpl w:val="D56E9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F70861"/>
    <w:multiLevelType w:val="multilevel"/>
    <w:tmpl w:val="48EC1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734568"/>
    <w:multiLevelType w:val="multilevel"/>
    <w:tmpl w:val="B8C28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24B1C"/>
    <w:multiLevelType w:val="multilevel"/>
    <w:tmpl w:val="67F81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22325"/>
    <w:multiLevelType w:val="multilevel"/>
    <w:tmpl w:val="09D0C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625F"/>
    <w:rsid w:val="001F57C8"/>
    <w:rsid w:val="0049625F"/>
    <w:rsid w:val="00596CB3"/>
    <w:rsid w:val="005D70C9"/>
    <w:rsid w:val="008D4800"/>
    <w:rsid w:val="00CE31DC"/>
    <w:rsid w:val="00D136E6"/>
    <w:rsid w:val="00F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4"/>
    <w:rsid w:val="00F1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8D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25pt">
    <w:name w:val="Основной текст + Candara;25 pt"/>
    <w:basedOn w:val="a4"/>
    <w:rsid w:val="008D48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88" w:lineRule="exact"/>
      <w:ind w:firstLine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">
    <w:name w:val="Основной текст + 11;5 pt"/>
    <w:basedOn w:val="a4"/>
    <w:rsid w:val="00F1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8D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25pt">
    <w:name w:val="Основной текст + Candara;25 pt"/>
    <w:basedOn w:val="a4"/>
    <w:rsid w:val="008D48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dcterms:created xsi:type="dcterms:W3CDTF">2021-03-02T12:50:00Z</dcterms:created>
  <dcterms:modified xsi:type="dcterms:W3CDTF">2021-03-02T12:50:00Z</dcterms:modified>
</cp:coreProperties>
</file>