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F" w:rsidRPr="00CE31DC" w:rsidRDefault="005D70C9">
      <w:pPr>
        <w:pStyle w:val="3"/>
        <w:shd w:val="clear" w:color="auto" w:fill="auto"/>
        <w:tabs>
          <w:tab w:val="right" w:pos="9918"/>
        </w:tabs>
        <w:spacing w:after="2"/>
        <w:ind w:left="40" w:right="140"/>
        <w:rPr>
          <w:sz w:val="24"/>
          <w:szCs w:val="24"/>
        </w:rPr>
      </w:pPr>
      <w:r w:rsidRPr="00CE31DC">
        <w:rPr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 274н, представляется информация об учетной политике учреждения.</w:t>
      </w:r>
      <w:r w:rsidRPr="00CE31DC">
        <w:rPr>
          <w:sz w:val="24"/>
          <w:szCs w:val="24"/>
        </w:rPr>
        <w:tab/>
      </w:r>
    </w:p>
    <w:p w:rsidR="0049625F" w:rsidRPr="00CE31DC" w:rsidRDefault="005D70C9">
      <w:pPr>
        <w:pStyle w:val="a6"/>
        <w:framePr w:w="10666" w:wrap="notBeside" w:vAnchor="text" w:hAnchor="text" w:xAlign="center" w:y="1"/>
        <w:shd w:val="clear" w:color="auto" w:fill="auto"/>
        <w:tabs>
          <w:tab w:val="right" w:leader="underscore" w:pos="9878"/>
          <w:tab w:val="right" w:pos="10018"/>
          <w:tab w:val="right" w:pos="10234"/>
          <w:tab w:val="right" w:pos="10392"/>
        </w:tabs>
        <w:ind w:firstLine="0"/>
        <w:rPr>
          <w:sz w:val="24"/>
          <w:szCs w:val="24"/>
        </w:rPr>
      </w:pPr>
      <w:r w:rsidRPr="00CE31DC">
        <w:rPr>
          <w:sz w:val="24"/>
          <w:szCs w:val="24"/>
        </w:rPr>
        <w:t xml:space="preserve">Учетная политика ОГБУК «Государственная филармония Костромской области» утверждена </w:t>
      </w:r>
      <w:r w:rsidRPr="00CE31DC">
        <w:rPr>
          <w:rStyle w:val="a7"/>
          <w:sz w:val="24"/>
          <w:szCs w:val="24"/>
        </w:rPr>
        <w:t>приказом от 3</w:t>
      </w:r>
      <w:r w:rsidR="00CE31DC">
        <w:rPr>
          <w:rStyle w:val="a7"/>
          <w:sz w:val="24"/>
          <w:szCs w:val="24"/>
        </w:rPr>
        <w:t>0</w:t>
      </w:r>
      <w:r w:rsidRPr="00CE31DC">
        <w:rPr>
          <w:rStyle w:val="a7"/>
          <w:sz w:val="24"/>
          <w:szCs w:val="24"/>
        </w:rPr>
        <w:t xml:space="preserve"> декабря 20</w:t>
      </w:r>
      <w:r w:rsidR="00CE31DC">
        <w:rPr>
          <w:rStyle w:val="a7"/>
          <w:sz w:val="24"/>
          <w:szCs w:val="24"/>
        </w:rPr>
        <w:t>2</w:t>
      </w:r>
      <w:r w:rsidR="003E72B1">
        <w:rPr>
          <w:rStyle w:val="a7"/>
          <w:sz w:val="24"/>
          <w:szCs w:val="24"/>
        </w:rPr>
        <w:t>2</w:t>
      </w:r>
      <w:r w:rsidRPr="00CE31DC">
        <w:rPr>
          <w:rStyle w:val="a7"/>
          <w:sz w:val="24"/>
          <w:szCs w:val="24"/>
        </w:rPr>
        <w:t xml:space="preserve"> года № </w:t>
      </w:r>
      <w:r w:rsidR="00CE31DC">
        <w:rPr>
          <w:rStyle w:val="a7"/>
          <w:sz w:val="24"/>
          <w:szCs w:val="24"/>
        </w:rPr>
        <w:t>3</w:t>
      </w:r>
      <w:r w:rsidR="003E72B1">
        <w:rPr>
          <w:rStyle w:val="a7"/>
          <w:sz w:val="24"/>
          <w:szCs w:val="24"/>
        </w:rPr>
        <w:t>66</w:t>
      </w:r>
      <w:r w:rsidRPr="00CE31DC">
        <w:rPr>
          <w:rStyle w:val="a7"/>
          <w:sz w:val="24"/>
          <w:szCs w:val="24"/>
        </w:rPr>
        <w:t>/02-0</w:t>
      </w:r>
      <w:r w:rsidR="00A31FE1">
        <w:rPr>
          <w:rStyle w:val="a7"/>
          <w:sz w:val="24"/>
          <w:szCs w:val="24"/>
        </w:rPr>
        <w:t>1 и состоит из следующих частей</w:t>
      </w:r>
    </w:p>
    <w:tbl>
      <w:tblPr>
        <w:tblpPr w:leftFromText="180" w:rightFromText="180" w:vertAnchor="page" w:horzAnchor="margin" w:tblpY="29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49625F" w:rsidRPr="00CE31DC" w:rsidTr="00A31FE1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№</w:t>
            </w:r>
          </w:p>
          <w:p w:rsidR="0049625F" w:rsidRPr="00CE31DC" w:rsidRDefault="005D70C9" w:rsidP="00A31FE1">
            <w:pPr>
              <w:pStyle w:val="3"/>
              <w:shd w:val="clear" w:color="auto" w:fill="auto"/>
              <w:spacing w:before="6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CE31DC">
              <w:rPr>
                <w:rStyle w:val="1"/>
                <w:sz w:val="24"/>
                <w:szCs w:val="24"/>
              </w:rPr>
              <w:t>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Наименование части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Основные положения</w:t>
            </w:r>
          </w:p>
        </w:tc>
      </w:tr>
      <w:tr w:rsidR="0049625F" w:rsidRPr="00CE31DC" w:rsidTr="00A31FE1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</w:tr>
      <w:tr w:rsidR="0049625F" w:rsidRPr="00CE31DC" w:rsidTr="00A31FE1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49625F" w:rsidP="00A31FE1">
            <w:pPr>
              <w:pStyle w:val="3"/>
              <w:shd w:val="clear" w:color="auto" w:fill="auto"/>
              <w:spacing w:after="0" w:line="200" w:lineRule="exact"/>
              <w:ind w:left="67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1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12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1. Общие вопросы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политике.</w:t>
            </w:r>
          </w:p>
          <w:p w:rsidR="00A31FE1" w:rsidRPr="00CE31DC" w:rsidRDefault="00A31FE1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30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2. Организация бухгалтерской службы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ведения бухгалтерского и налогового учета, который возлагается на отдел финансово-экономических вопросов и инвестиционных программ, возглавляемый главным бухгалтером;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программных продуктах, применяемых для обработки учетной информации, о направлениях использования электронного документооборота;</w:t>
            </w:r>
          </w:p>
          <w:p w:rsidR="0049625F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об особенностях оформления первичных учетных документах;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-п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 xml:space="preserve">оложение о внутреннем финансовом контроле (приложение 1)и график проведения внутренних проверок </w:t>
            </w:r>
            <w:r w:rsidR="00A31FE1">
              <w:rPr>
                <w:rStyle w:val="1"/>
                <w:sz w:val="24"/>
                <w:szCs w:val="24"/>
              </w:rPr>
              <w:t>(</w:t>
            </w:r>
            <w:r w:rsidRPr="00CE31DC">
              <w:rPr>
                <w:rStyle w:val="1"/>
                <w:sz w:val="24"/>
                <w:szCs w:val="24"/>
              </w:rPr>
              <w:t>приложение 2), состав комиссии (приложение 3).</w:t>
            </w:r>
          </w:p>
          <w:p w:rsidR="00A31FE1" w:rsidRPr="00CE31DC" w:rsidRDefault="00A31FE1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27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3.Правила и график документооборота, обработку учетной информации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перечень лиц, имеющих право подписи первичных учетных документов (приложение 4);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 работе с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контроль-кассовой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 xml:space="preserve"> техникой;</w:t>
            </w:r>
          </w:p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-об использовании унифицированных форм регистров и о порядке формирования электронных регистров бухгалтерского учет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а(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приложение 6);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графике документооборота (приложение 7);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особенностях оформления и формирования регистров бухгалтерского учета - журналов операций и главной книги.</w:t>
            </w:r>
          </w:p>
        </w:tc>
      </w:tr>
      <w:tr w:rsidR="0049625F" w:rsidRPr="00CE31DC" w:rsidTr="00A31FE1">
        <w:trPr>
          <w:trHeight w:hRule="exact" w:val="16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4.Периодичность формирования регистров бухгалтерского (бюджетного) учета на бумажных носителях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 о сроках формирования регистров бухгалтерского (бюджетного) учета на бумажных носителях</w:t>
            </w:r>
          </w:p>
        </w:tc>
      </w:tr>
      <w:tr w:rsidR="0049625F" w:rsidRPr="00CE31DC" w:rsidTr="00A31FE1">
        <w:trPr>
          <w:trHeight w:hRule="exact" w:val="8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5. Рабочий План счетов бухгалтерского (бюджетного)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60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 о рабочем плане счетов (приложение 9)</w:t>
            </w:r>
          </w:p>
          <w:p w:rsidR="0049625F" w:rsidRPr="00CE31DC" w:rsidRDefault="0049625F" w:rsidP="00A31FE1">
            <w:pPr>
              <w:pStyle w:val="3"/>
              <w:shd w:val="clear" w:color="auto" w:fill="auto"/>
              <w:spacing w:before="600" w:after="0" w:line="230" w:lineRule="exact"/>
              <w:ind w:left="414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4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E31DC">
              <w:rPr>
                <w:rStyle w:val="1"/>
                <w:sz w:val="24"/>
                <w:szCs w:val="24"/>
              </w:rPr>
              <w:t>б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.</w:t>
            </w:r>
            <w:r w:rsidR="00A31FE1">
              <w:rPr>
                <w:rStyle w:val="1"/>
                <w:sz w:val="24"/>
                <w:szCs w:val="24"/>
              </w:rPr>
              <w:t xml:space="preserve"> </w:t>
            </w:r>
            <w:r w:rsidRPr="00CE31DC">
              <w:rPr>
                <w:rStyle w:val="1"/>
                <w:sz w:val="24"/>
                <w:szCs w:val="24"/>
              </w:rPr>
              <w:t>Порядок приемки и списания нефинансовых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комиссии по поступлению и выбытию активов (приложение 10);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60"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комиссии по поступлению и выбытию активов (приложение 11);</w:t>
            </w:r>
          </w:p>
          <w:p w:rsidR="0049625F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списании активов (приложение 12);</w:t>
            </w:r>
          </w:p>
          <w:p w:rsidR="00A31FE1" w:rsidRPr="00CE31DC" w:rsidRDefault="00A31FE1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4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7. Порядок проведения инвентаризации</w:t>
            </w:r>
            <w:r w:rsidR="00F14B24">
              <w:rPr>
                <w:rStyle w:val="1"/>
                <w:sz w:val="24"/>
                <w:szCs w:val="24"/>
              </w:rPr>
              <w:t xml:space="preserve"> активов (нефинансовых и финансовых обязательств)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  <w:p w:rsidR="0049625F" w:rsidRPr="00CE31DC" w:rsidRDefault="005D70C9" w:rsidP="00A31F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об инвентаризации (приложение 13);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сроках проведения плановых и внеплановых инвентаризаций, отражение результатов инвентаризации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F14B24" w:rsidTr="00F14B24">
        <w:trPr>
          <w:trHeight w:hRule="exact" w:val="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lastRenderedPageBreak/>
              <w:t>9</w:t>
            </w:r>
          </w:p>
          <w:p w:rsidR="00F14B24" w:rsidRPr="00F14B24" w:rsidRDefault="00F14B24" w:rsidP="00F14B24">
            <w:pPr>
              <w:jc w:val="center"/>
            </w:pPr>
            <w: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Общие правила ведения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бухгалтерского учета.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B24" w:rsidTr="00A31FE1">
        <w:trPr>
          <w:trHeight w:hRule="exact" w:val="12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1. Учет объектов основных средств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tabs>
                <w:tab w:val="left" w:pos="65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об объединении объектов имущества;</w:t>
            </w:r>
          </w:p>
          <w:p w:rsidR="00F14B24" w:rsidRPr="00F14B24" w:rsidRDefault="00F14B24" w:rsidP="00F14B24">
            <w:pPr>
              <w:tabs>
                <w:tab w:val="left" w:pos="76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формировании инвентарного номера объектов основных средств;</w:t>
            </w:r>
          </w:p>
          <w:p w:rsidR="00F14B24" w:rsidRDefault="00F14B24" w:rsidP="00F14B24">
            <w:pPr>
              <w:tabs>
                <w:tab w:val="left" w:pos="758"/>
              </w:tabs>
              <w:spacing w:line="274" w:lineRule="exact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об обозначении инвентарного номера на объекте основных средств;</w:t>
            </w:r>
          </w:p>
          <w:p w:rsidR="00A31FE1" w:rsidRPr="00F14B24" w:rsidRDefault="00A31FE1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64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об установленном методе амортизации;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методе определения справедливой стоимости активов;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переоценке объектов основных средств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2. Учет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нематериальных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формировании инвентарного номера нематериальных активов;</w:t>
            </w: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.</w:t>
            </w:r>
            <w:proofErr w:type="gramEnd"/>
          </w:p>
          <w:p w:rsidR="00F14B24" w:rsidRP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переоценке объектов нематериальных активов</w:t>
            </w:r>
          </w:p>
        </w:tc>
      </w:tr>
      <w:tr w:rsidR="00F14B24" w:rsidTr="00A31FE1">
        <w:trPr>
          <w:trHeight w:hRule="exact" w:val="13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spacing w:line="230" w:lineRule="exact"/>
              <w:jc w:val="center"/>
              <w:rPr>
                <w:sz w:val="24"/>
                <w:szCs w:val="24"/>
              </w:rPr>
            </w:pPr>
            <w:r w:rsidRPr="00F14B24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1</w:t>
            </w:r>
            <w:r w:rsidRPr="00F14B2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3. Учет материальных запасов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принятии к учету материальных запасов;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8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>о</w:t>
            </w:r>
            <w:proofErr w:type="gramEnd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используемых учреждением видах бланков строгой отчетности, особенностях бухгалтерского учета бланков строгой отчетности;</w:t>
            </w:r>
          </w:p>
        </w:tc>
      </w:tr>
      <w:tr w:rsidR="00F14B24" w:rsidTr="00A31FE1">
        <w:trPr>
          <w:trHeight w:hRule="exact" w:val="11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4. Обесценение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обесценение активов;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восстановление убытка от обесценения актива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5. Учет себестоимости оказанных услуг, выполненных работ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составе затрат прямых и общехозяйственных в разрезе их видов и списание расходов на себестоимость.</w:t>
            </w:r>
          </w:p>
        </w:tc>
      </w:tr>
      <w:tr w:rsidR="00F14B24" w:rsidTr="00A31FE1">
        <w:trPr>
          <w:trHeight w:hRule="exact" w:val="13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б</w:t>
            </w:r>
            <w:proofErr w:type="gramEnd"/>
            <w:r w:rsidRPr="00F14B24">
              <w:rPr>
                <w:rStyle w:val="115pt"/>
                <w:sz w:val="24"/>
                <w:szCs w:val="24"/>
              </w:rPr>
              <w:t>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F14B24">
              <w:rPr>
                <w:rStyle w:val="115pt"/>
                <w:sz w:val="24"/>
                <w:szCs w:val="24"/>
              </w:rPr>
              <w:t>Учет кассовых операций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9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ведение кассовых операций</w:t>
            </w: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;</w:t>
            </w:r>
            <w:proofErr w:type="gramEnd"/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проведении инвентаризации кассы;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денежных документах.</w:t>
            </w:r>
          </w:p>
        </w:tc>
      </w:tr>
      <w:tr w:rsidR="00F14B24" w:rsidTr="00F14B24">
        <w:trPr>
          <w:trHeight w:hRule="exact" w:val="6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7.Учет расходов на мобильную связь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учете расходов на мобильную связь</w:t>
            </w:r>
          </w:p>
        </w:tc>
      </w:tr>
      <w:tr w:rsidR="00F14B24" w:rsidTr="00F14B24">
        <w:trPr>
          <w:trHeight w:hRule="exact" w:val="1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8. Порядок выдачи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наличных денежных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средств под отчет 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предоставление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отчетности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подотчетными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лицами.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отражении порядка выдачи денежных средств под отчет: способы выдачи, предельная сумма, сроки</w:t>
            </w:r>
          </w:p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%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9.Учет расчетов по оплате труда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ведение аналитического учета расчетов по оплате труда в разрезе сотрудников и других физических лиц, с которыми заключены гражданско-правовые договоры</w:t>
            </w:r>
          </w:p>
        </w:tc>
      </w:tr>
      <w:tr w:rsidR="00F14B24" w:rsidTr="00F14B24">
        <w:trPr>
          <w:trHeight w:hRule="exact" w:val="6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8D4800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F14B24" w:rsidRPr="00F14B24">
              <w:rPr>
                <w:rStyle w:val="115pt"/>
                <w:sz w:val="24"/>
                <w:szCs w:val="24"/>
              </w:rPr>
              <w:t>.Учет доходов (СГС «Доходы»)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доходах, доходах и расходах будущих периодов</w:t>
            </w:r>
          </w:p>
        </w:tc>
      </w:tr>
      <w:tr w:rsidR="00F14B24" w:rsidTr="00A31FE1">
        <w:trPr>
          <w:trHeight w:hRule="exact" w:val="1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11. События после отчетной даты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События, которые могут быть признаны событиями после' отчетной даты: события после отчетной даты, которые подтверждают условия хозяйственной деятельности и события, которые</w:t>
            </w:r>
            <w:r w:rsidR="008D4800">
              <w:rPr>
                <w:rStyle w:val="115pt"/>
                <w:sz w:val="24"/>
                <w:szCs w:val="24"/>
              </w:rPr>
              <w:t xml:space="preserve"> </w:t>
            </w:r>
            <w:r w:rsidR="008D4800" w:rsidRPr="001A1D5E">
              <w:rPr>
                <w:rStyle w:val="115pt0"/>
                <w:b w:val="0"/>
              </w:rPr>
              <w:t>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  <w:proofErr w:type="gramEnd"/>
          </w:p>
        </w:tc>
      </w:tr>
      <w:tr w:rsidR="008D4800" w:rsidTr="00A31FE1">
        <w:trPr>
          <w:trHeight w:hRule="exact" w:val="8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after="120" w:line="230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12.Резервы</w:t>
            </w:r>
          </w:p>
          <w:p w:rsidR="008D4800" w:rsidRPr="001A1D5E" w:rsidRDefault="008D4800" w:rsidP="008D4800">
            <w:pPr>
              <w:spacing w:before="120" w:line="230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предстоящих 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98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 xml:space="preserve">Содержится информация о создании резервов предстоящих расходов </w:t>
            </w:r>
          </w:p>
        </w:tc>
      </w:tr>
      <w:tr w:rsidR="008D4800" w:rsidTr="008D4800">
        <w:trPr>
          <w:trHeight w:hRule="exact" w:val="8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13.У чет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санкционирования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возникновении обязательств и документах, подтверждающих возникновения обязательств</w:t>
            </w:r>
          </w:p>
        </w:tc>
      </w:tr>
      <w:tr w:rsidR="003E72B1" w:rsidTr="003E72B1">
        <w:trPr>
          <w:trHeight w:hRule="exact" w:val="1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2B1" w:rsidRPr="001A1D5E" w:rsidRDefault="003E72B1" w:rsidP="008D4800">
            <w:pPr>
              <w:spacing w:line="230" w:lineRule="exact"/>
              <w:ind w:left="160"/>
              <w:rPr>
                <w:rStyle w:val="115pt0"/>
                <w:rFonts w:eastAsia="Courier New"/>
                <w:b w:val="0"/>
              </w:rPr>
            </w:pPr>
            <w:r>
              <w:rPr>
                <w:rStyle w:val="115pt0"/>
                <w:rFonts w:eastAsia="Courier New"/>
                <w:b w:val="0"/>
              </w:rPr>
              <w:lastRenderedPageBreak/>
              <w:t>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2B1" w:rsidRDefault="003E72B1" w:rsidP="008D4800">
            <w:pPr>
              <w:spacing w:line="274" w:lineRule="exact"/>
              <w:rPr>
                <w:rStyle w:val="115pt0"/>
                <w:rFonts w:eastAsia="Courier New"/>
                <w:b w:val="0"/>
              </w:rPr>
            </w:pPr>
            <w:r>
              <w:rPr>
                <w:rStyle w:val="115pt0"/>
                <w:rFonts w:eastAsia="Courier New"/>
                <w:b w:val="0"/>
              </w:rPr>
              <w:t>Учет расчетов по налогам</w:t>
            </w:r>
          </w:p>
          <w:p w:rsidR="003E72B1" w:rsidRPr="001A1D5E" w:rsidRDefault="003E72B1" w:rsidP="008D4800">
            <w:pPr>
              <w:spacing w:line="274" w:lineRule="exact"/>
              <w:rPr>
                <w:rStyle w:val="115pt0"/>
                <w:rFonts w:eastAsia="Courier New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B1" w:rsidRPr="001A1D5E" w:rsidRDefault="003E72B1" w:rsidP="008D4800">
            <w:pPr>
              <w:spacing w:line="274" w:lineRule="exact"/>
              <w:rPr>
                <w:rStyle w:val="115pt0"/>
                <w:rFonts w:eastAsia="Courier New"/>
                <w:b w:val="0"/>
              </w:rPr>
            </w:pPr>
            <w:r w:rsidRPr="003E72B1">
              <w:rPr>
                <w:rStyle w:val="115pt0"/>
                <w:rFonts w:eastAsia="Courier New"/>
                <w:b w:val="0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учреждение возложены обязанности налогоплательщика или налогового агента</w:t>
            </w:r>
          </w:p>
        </w:tc>
      </w:tr>
      <w:tr w:rsidR="008D4800" w:rsidTr="008D4800">
        <w:trPr>
          <w:trHeight w:hRule="exact" w:val="7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3E72B1" w:rsidP="008D4800">
            <w:pPr>
              <w:spacing w:line="230" w:lineRule="exact"/>
              <w:ind w:left="160"/>
              <w:rPr>
                <w:b/>
              </w:rPr>
            </w:pPr>
            <w:r>
              <w:rPr>
                <w:rStyle w:val="115pt0"/>
                <w:rFonts w:eastAsia="Courier New"/>
                <w:b w:val="0"/>
              </w:rPr>
              <w:t>24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14.Порядок хранения документов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порядке хранения документов и сроках хранения.</w:t>
            </w:r>
          </w:p>
        </w:tc>
      </w:tr>
      <w:tr w:rsidR="008D4800" w:rsidTr="008D4800">
        <w:trPr>
          <w:trHeight w:hRule="exact" w:val="8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3E72B1" w:rsidP="008D4800">
            <w:pPr>
              <w:spacing w:line="230" w:lineRule="exact"/>
              <w:ind w:left="160"/>
              <w:rPr>
                <w:b/>
              </w:rPr>
            </w:pPr>
            <w:r>
              <w:rPr>
                <w:rStyle w:val="115pt0"/>
                <w:rFonts w:eastAsia="Courier New"/>
                <w:b w:val="0"/>
              </w:rPr>
              <w:t>25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69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15. Изменение учетной политики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причинах и сроках изменения учетной политики и о способе публичного раскрытия основных положений учетной политики на официальном сайте</w:t>
            </w:r>
          </w:p>
        </w:tc>
      </w:tr>
    </w:tbl>
    <w:p w:rsidR="0049625F" w:rsidRPr="00CE31DC" w:rsidRDefault="004962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25F" w:rsidRPr="00CE31DC">
      <w:type w:val="continuous"/>
      <w:pgSz w:w="11909" w:h="16838"/>
      <w:pgMar w:top="624" w:right="617" w:bottom="562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1B" w:rsidRDefault="008F601B">
      <w:r>
        <w:separator/>
      </w:r>
    </w:p>
  </w:endnote>
  <w:endnote w:type="continuationSeparator" w:id="0">
    <w:p w:rsidR="008F601B" w:rsidRDefault="008F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1B" w:rsidRDefault="008F601B"/>
  </w:footnote>
  <w:footnote w:type="continuationSeparator" w:id="0">
    <w:p w:rsidR="008F601B" w:rsidRDefault="008F60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92"/>
    <w:multiLevelType w:val="multilevel"/>
    <w:tmpl w:val="A23A0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040C"/>
    <w:multiLevelType w:val="multilevel"/>
    <w:tmpl w:val="FAF2D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D780E"/>
    <w:multiLevelType w:val="multilevel"/>
    <w:tmpl w:val="EC6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9542D"/>
    <w:multiLevelType w:val="multilevel"/>
    <w:tmpl w:val="0F8C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2460F"/>
    <w:multiLevelType w:val="multilevel"/>
    <w:tmpl w:val="D3EA3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1704C"/>
    <w:multiLevelType w:val="multilevel"/>
    <w:tmpl w:val="C83C3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2835"/>
    <w:multiLevelType w:val="multilevel"/>
    <w:tmpl w:val="8BB89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C6E5F"/>
    <w:multiLevelType w:val="multilevel"/>
    <w:tmpl w:val="04049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B2AC4"/>
    <w:multiLevelType w:val="multilevel"/>
    <w:tmpl w:val="D56E9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70861"/>
    <w:multiLevelType w:val="multilevel"/>
    <w:tmpl w:val="48EC1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34568"/>
    <w:multiLevelType w:val="multilevel"/>
    <w:tmpl w:val="B8C28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24B1C"/>
    <w:multiLevelType w:val="multilevel"/>
    <w:tmpl w:val="67F81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22325"/>
    <w:multiLevelType w:val="multilevel"/>
    <w:tmpl w:val="09D0C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625F"/>
    <w:rsid w:val="001F57C8"/>
    <w:rsid w:val="003E72B1"/>
    <w:rsid w:val="0049625F"/>
    <w:rsid w:val="004F666D"/>
    <w:rsid w:val="00596CB3"/>
    <w:rsid w:val="005D70C9"/>
    <w:rsid w:val="008D4800"/>
    <w:rsid w:val="008F601B"/>
    <w:rsid w:val="00A31FE1"/>
    <w:rsid w:val="00CE31DC"/>
    <w:rsid w:val="00D136E6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ZAM</cp:lastModifiedBy>
  <cp:revision>2</cp:revision>
  <cp:lastPrinted>2022-02-08T13:00:00Z</cp:lastPrinted>
  <dcterms:created xsi:type="dcterms:W3CDTF">2024-04-02T07:22:00Z</dcterms:created>
  <dcterms:modified xsi:type="dcterms:W3CDTF">2024-04-02T07:22:00Z</dcterms:modified>
</cp:coreProperties>
</file>